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</w:rPr>
        <w:t>中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</w:rPr>
        <w:t>国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</w:rPr>
        <w:t>节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</w:rPr>
        <w:t>能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</w:rPr>
        <w:t>协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highlight w:val="none"/>
          <w:lang w:eastAsia="zh-CN"/>
        </w:rPr>
        <w:t>会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  <w:highlight w:val="none"/>
          <w:u w:val="thick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  <w:highlight w:val="none"/>
          <w:u w:val="thick"/>
          <w:lang w:val="en-US" w:eastAsia="zh-CN"/>
        </w:rPr>
        <w:t xml:space="preserve">                        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举办全国</w:t>
      </w:r>
      <w:r>
        <w:rPr>
          <w:rFonts w:hint="eastAsia" w:ascii="黑体" w:hAnsi="黑体" w:eastAsia="黑体" w:cs="黑体"/>
          <w:sz w:val="44"/>
          <w:szCs w:val="44"/>
        </w:rPr>
        <w:t>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交易、碳</w:t>
      </w:r>
      <w:r>
        <w:rPr>
          <w:rFonts w:hint="eastAsia" w:ascii="黑体" w:hAnsi="黑体" w:eastAsia="黑体" w:cs="黑体"/>
          <w:sz w:val="44"/>
          <w:szCs w:val="44"/>
        </w:rPr>
        <w:t>排放报告与核查及排放监测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专题培训班</w:t>
      </w:r>
      <w:r>
        <w:rPr>
          <w:rFonts w:hint="eastAsia" w:ascii="黑体" w:hAnsi="黑体" w:eastAsia="黑体" w:cs="黑体"/>
          <w:sz w:val="44"/>
          <w:szCs w:val="44"/>
        </w:rPr>
        <w:t>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tabs>
          <w:tab w:val="left" w:pos="6223"/>
        </w:tabs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各有关单位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为深入贯彻十九大精神，</w:t>
      </w:r>
      <w:r>
        <w:rPr>
          <w:rFonts w:hint="eastAsia" w:ascii="仿宋" w:hAnsi="仿宋" w:eastAsia="仿宋" w:cs="仿宋"/>
          <w:sz w:val="32"/>
          <w:szCs w:val="32"/>
        </w:rPr>
        <w:t>根据《“十三五”控制温室气体排放工作方案》和《碳排放权交易管理暂行办法》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等相关文件精神及</w:t>
      </w:r>
      <w:r>
        <w:rPr>
          <w:rFonts w:hint="eastAsia" w:ascii="仿宋" w:hAnsi="仿宋" w:eastAsia="仿宋" w:cs="仿宋"/>
          <w:sz w:val="32"/>
          <w:szCs w:val="32"/>
        </w:rPr>
        <w:t>有关要求，2020年和2030年能源消费总量分别控制在50、60亿吨标准煤以内的目标任务。扎实做好全国碳排放权交易市场建设相关工作，完善配额分配方法，夯实数据基础，确保数据质量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。经研究，我会将在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2018年度举办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</w:t>
      </w:r>
      <w:r>
        <w:rPr>
          <w:rFonts w:hint="eastAsia" w:ascii="仿宋" w:hAnsi="仿宋" w:eastAsia="仿宋" w:cs="仿宋"/>
          <w:sz w:val="32"/>
          <w:szCs w:val="32"/>
        </w:rPr>
        <w:t>碳交易、碳排放报告与核查及排放监测专题培训班，现将有关事项通知如下：</w:t>
      </w:r>
    </w:p>
    <w:p>
      <w:pPr>
        <w:tabs>
          <w:tab w:val="left" w:pos="649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学习</w:t>
      </w:r>
      <w:r>
        <w:rPr>
          <w:rFonts w:hint="eastAsia" w:ascii="黑体" w:hAnsi="黑体" w:eastAsia="黑体" w:cs="黑体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（一）</w:t>
      </w:r>
      <w:r>
        <w:rPr>
          <w:rFonts w:hint="eastAsia" w:ascii="仿宋" w:hAnsi="仿宋" w:eastAsia="仿宋" w:cs="仿宋"/>
          <w:sz w:val="32"/>
          <w:szCs w:val="32"/>
        </w:rPr>
        <w:t>“十三五”控制温室气体排放工作方案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和碳排放权交易管理暂行办法等政策解析；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（二）全国碳排放权交易市场启动重点工作和建设方案；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（三）全国碳排放权交易第三方核查机构及人员要求；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（四）温室气体排放量核算方法；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（五）碳排放报告、核查和排放监测；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碳排放权交易体系建设；</w:t>
      </w:r>
    </w:p>
    <w:p>
      <w:pPr>
        <w:tabs>
          <w:tab w:val="left" w:pos="298"/>
        </w:tabs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(七)CCER项目开发交易与温室气体排放核算；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>碳交易机制核心要素与国际碳市场发展状况；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仿宋"/>
          <w:sz w:val="32"/>
          <w:szCs w:val="32"/>
        </w:rPr>
        <w:t>中国碳市场配额分配方法及相关数据要求；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仿宋"/>
          <w:sz w:val="32"/>
          <w:szCs w:val="32"/>
        </w:rPr>
        <w:t>碳市场金融发展与实践；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（十一）</w:t>
      </w:r>
      <w:r>
        <w:rPr>
          <w:rFonts w:hint="eastAsia" w:ascii="仿宋" w:hAnsi="仿宋" w:eastAsia="仿宋" w:cs="仿宋"/>
          <w:sz w:val="32"/>
          <w:szCs w:val="32"/>
        </w:rPr>
        <w:t>碳排放自查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核查报告编写方法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（十二）</w:t>
      </w:r>
      <w:r>
        <w:rPr>
          <w:rFonts w:hint="eastAsia" w:ascii="仿宋" w:hAnsi="仿宋" w:eastAsia="仿宋" w:cs="仿宋"/>
          <w:sz w:val="32"/>
          <w:szCs w:val="32"/>
        </w:rPr>
        <w:t>城市碳排放峰值测算方法；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（十三）碳足迹计算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（十四）能源结构转型与低碳示范项目案例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二、师资安排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拟邀请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国家发展和改革委员会能源所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中国科学院、清华大学</w:t>
      </w:r>
      <w:r>
        <w:rPr>
          <w:rFonts w:hint="eastAsia" w:ascii="仿宋" w:hAnsi="仿宋" w:eastAsia="仿宋" w:cs="仿宋"/>
          <w:sz w:val="32"/>
          <w:szCs w:val="32"/>
        </w:rPr>
        <w:t>等有关单位部门的领导和专家授课。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三、参加人员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地相关部门主管人员，电力、钢铁、水泥、化工、煤炭、可再生能源、油田、垃圾焚烧和填埋、水利、农业、节能、环保、金融、认证、计量检测、航空公司、工业园区管委会等机构、企事业单位投资管理部门、各地节能中心、节能服务公司、环境影响评价、安全评价、清洁生产、工程咨询机构、碳资产管理咨询、节能低碳技术、医院、大专院校等公共机构单位相关人员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、学习方式及证书颁发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专家授课、现场演示、互动交流等方式。此次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课程安排求真务实,直击企业需求。理论与实战经验相结合,并提供最新讲课和参考资料。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结业, 统一颁发结业证书。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五、时间和地点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日为报到日）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</w:t>
      </w:r>
      <w:r>
        <w:rPr>
          <w:rFonts w:hint="eastAsia" w:ascii="仿宋" w:hAnsi="仿宋" w:eastAsia="仿宋" w:cs="仿宋"/>
          <w:sz w:val="32"/>
          <w:szCs w:val="32"/>
        </w:rPr>
        <w:t>市（具体报到地点另行通知）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费用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费3200元/人(含授课费、讲义费、场地费、证书制作及授课期间午餐等)。食宿统一安排, 费用自理。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参加培训班的人员请按要求将报名表认真填写好，传真或电话报名。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具体办班地点及安排另行通知。</w:t>
      </w:r>
    </w:p>
    <w:p>
      <w:pPr>
        <w:adjustRightInd w:val="0"/>
        <w:snapToGrid w:val="0"/>
        <w:spacing w:line="4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联系人：韩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雪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13001041900  邮 箱：</w:t>
      </w:r>
      <w:r>
        <w:fldChar w:fldCharType="begin"/>
      </w:r>
      <w:r>
        <w:instrText xml:space="preserve"> HYPERLINK "mailto:2014573676@qq.com"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3106420049@qq.com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fldChar w:fldCharType="end"/>
      </w:r>
    </w:p>
    <w:p>
      <w:pPr>
        <w:adjustRightInd w:val="0"/>
        <w:snapToGrid w:val="0"/>
        <w:spacing w:line="4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</w:t>
      </w:r>
      <w:r>
        <w:rPr>
          <w:rFonts w:ascii="仿宋_GB2312" w:hAnsi="仿宋_GB2312" w:eastAsia="仿宋_GB2312" w:cs="仿宋_GB2312"/>
          <w:b/>
          <w:sz w:val="32"/>
          <w:szCs w:val="32"/>
        </w:rPr>
        <w:t>010-51945761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（兼传真）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198120</wp:posOffset>
            </wp:positionV>
            <wp:extent cx="2131695" cy="1941195"/>
            <wp:effectExtent l="285750" t="328295" r="287655" b="340360"/>
            <wp:wrapNone/>
            <wp:docPr id="1" name="图片 1" descr="节能协会图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节能协会图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320000">
                      <a:off x="0" y="0"/>
                      <a:ext cx="213169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协会秘书处联系人:李宇涛  010-64525339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中国节能协会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2017年12月18日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全国碳交易、碳排放报告与核查及排放监测专题培训班报名表</w:t>
      </w:r>
    </w:p>
    <w:tbl>
      <w:tblPr>
        <w:tblStyle w:val="6"/>
        <w:tblpPr w:leftFromText="180" w:rightFromText="180" w:vertAnchor="text" w:horzAnchor="page" w:tblpX="1532" w:tblpY="15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88"/>
        <w:gridCol w:w="947"/>
        <w:gridCol w:w="2174"/>
        <w:gridCol w:w="1045"/>
        <w:gridCol w:w="5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</w:trPr>
        <w:tc>
          <w:tcPr>
            <w:tcW w:w="1590" w:type="dxa"/>
            <w:vAlign w:val="center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470" w:type="dxa"/>
            <w:gridSpan w:val="6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4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409" w:type="dxa"/>
            <w:gridSpan w:val="3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9060" w:type="dxa"/>
            <w:gridSpan w:val="7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  加  人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 务</w:t>
            </w: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（移动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590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0" w:hRule="atLeast"/>
        </w:trPr>
        <w:tc>
          <w:tcPr>
            <w:tcW w:w="2878" w:type="dxa"/>
            <w:gridSpan w:val="2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住宿预订</w:t>
            </w:r>
          </w:p>
        </w:tc>
        <w:tc>
          <w:tcPr>
            <w:tcW w:w="6182" w:type="dxa"/>
            <w:gridSpan w:val="5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□双人标准间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□单间</w:t>
            </w:r>
          </w:p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拟住日期：201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日至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90" w:hRule="atLeast"/>
        </w:trPr>
        <w:tc>
          <w:tcPr>
            <w:tcW w:w="2878" w:type="dxa"/>
            <w:gridSpan w:val="2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请列出您关注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</w:p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议题</w:t>
            </w:r>
          </w:p>
        </w:tc>
        <w:tc>
          <w:tcPr>
            <w:tcW w:w="6182" w:type="dxa"/>
            <w:gridSpan w:val="5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5" w:hRule="atLeast"/>
        </w:trPr>
        <w:tc>
          <w:tcPr>
            <w:tcW w:w="2878" w:type="dxa"/>
            <w:gridSpan w:val="2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</w:t>
            </w:r>
          </w:p>
        </w:tc>
        <w:tc>
          <w:tcPr>
            <w:tcW w:w="6182" w:type="dxa"/>
            <w:gridSpan w:val="5"/>
            <w:vAlign w:val="center"/>
          </w:tcPr>
          <w:p>
            <w:pPr>
              <w:spacing w:line="400" w:lineRule="exact"/>
              <w:ind w:right="560"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备  注：请认真逐项填写此表；此表复印有效。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联系人：韩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雪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13001041900  邮 箱：</w:t>
      </w:r>
      <w:r>
        <w:fldChar w:fldCharType="begin"/>
      </w:r>
      <w:r>
        <w:instrText xml:space="preserve"> HYPERLINK "mailto:2014573676@qq.com"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3106420049@qq.com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fldChar w:fldCharType="end"/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</w:t>
      </w:r>
      <w:r>
        <w:rPr>
          <w:rFonts w:ascii="仿宋_GB2312" w:hAnsi="仿宋_GB2312" w:eastAsia="仿宋_GB2312" w:cs="仿宋_GB2312"/>
          <w:b/>
          <w:sz w:val="32"/>
          <w:szCs w:val="32"/>
        </w:rPr>
        <w:t>010-51945761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（兼传真）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napToGrid w:val="0"/>
          <w:spacing w:val="1"/>
          <w:kern w:val="11"/>
          <w:sz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小米兰亭">
    <w:altName w:val="宋体"/>
    <w:panose1 w:val="03000502000000000000"/>
    <w:charset w:val="86"/>
    <w:family w:val="auto"/>
    <w:pitch w:val="default"/>
    <w:sig w:usb0="00000000" w:usb1="00000000" w:usb2="0000003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vo">
    <w:altName w:val="Verdana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Axure Handwriting">
    <w:altName w:val="Lucida Sans Unicode"/>
    <w:panose1 w:val="020B0402020200020204"/>
    <w:charset w:val="00"/>
    <w:family w:val="auto"/>
    <w:pitch w:val="default"/>
    <w:sig w:usb0="00000000" w:usb1="00000000" w:usb2="00000000" w:usb3="00000000" w:csb0="0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roid Serif">
    <w:altName w:val="Georgia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altName w:val="Harrington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Indie Flower">
    <w:altName w:val="Verdana"/>
    <w:panose1 w:val="02000000000000000000"/>
    <w:charset w:val="00"/>
    <w:family w:val="auto"/>
    <w:pitch w:val="default"/>
    <w:sig w:usb0="00000000" w:usb1="00000000" w:usb2="00000000" w:usb3="00000000" w:csb0="00000093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jdIcoMoonFre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dIonicons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ucida Sans Unicod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obster">
    <w:altName w:val="PMingLiU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Leelawadee UI">
    <w:altName w:val="Lucida Sans Unicod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">
    <w:altName w:val="Sego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07A7"/>
    <w:rsid w:val="01EC3756"/>
    <w:rsid w:val="028B271D"/>
    <w:rsid w:val="03672322"/>
    <w:rsid w:val="04F06DCF"/>
    <w:rsid w:val="07923601"/>
    <w:rsid w:val="08F32392"/>
    <w:rsid w:val="0D192143"/>
    <w:rsid w:val="0E87346B"/>
    <w:rsid w:val="13F44DB1"/>
    <w:rsid w:val="14997FB2"/>
    <w:rsid w:val="15252604"/>
    <w:rsid w:val="17A1344F"/>
    <w:rsid w:val="17F707A7"/>
    <w:rsid w:val="1874057D"/>
    <w:rsid w:val="1B3B010B"/>
    <w:rsid w:val="1B72214B"/>
    <w:rsid w:val="1FF63357"/>
    <w:rsid w:val="20027900"/>
    <w:rsid w:val="23470E12"/>
    <w:rsid w:val="23D335F0"/>
    <w:rsid w:val="243B62F1"/>
    <w:rsid w:val="24B3586B"/>
    <w:rsid w:val="2557078C"/>
    <w:rsid w:val="26B3513D"/>
    <w:rsid w:val="27283290"/>
    <w:rsid w:val="291B64C6"/>
    <w:rsid w:val="29360DFD"/>
    <w:rsid w:val="29E132CE"/>
    <w:rsid w:val="2A700DB9"/>
    <w:rsid w:val="2DCD6934"/>
    <w:rsid w:val="2E3D3C96"/>
    <w:rsid w:val="310301F2"/>
    <w:rsid w:val="32640142"/>
    <w:rsid w:val="32D04824"/>
    <w:rsid w:val="33404E5E"/>
    <w:rsid w:val="33B54FE1"/>
    <w:rsid w:val="34217DF8"/>
    <w:rsid w:val="37314578"/>
    <w:rsid w:val="37876071"/>
    <w:rsid w:val="37ED6F58"/>
    <w:rsid w:val="3971401C"/>
    <w:rsid w:val="3A7F150C"/>
    <w:rsid w:val="3C180632"/>
    <w:rsid w:val="3C6A4B1B"/>
    <w:rsid w:val="3E4E290A"/>
    <w:rsid w:val="3F402AAD"/>
    <w:rsid w:val="41471B3E"/>
    <w:rsid w:val="46AB29FF"/>
    <w:rsid w:val="48D27E74"/>
    <w:rsid w:val="4C8F6CEC"/>
    <w:rsid w:val="4CBB51BB"/>
    <w:rsid w:val="4CBF12F5"/>
    <w:rsid w:val="5085616C"/>
    <w:rsid w:val="52950BE4"/>
    <w:rsid w:val="53123818"/>
    <w:rsid w:val="557F0352"/>
    <w:rsid w:val="57EF45BB"/>
    <w:rsid w:val="58B57C8B"/>
    <w:rsid w:val="59060036"/>
    <w:rsid w:val="593F25D0"/>
    <w:rsid w:val="5B0E0E6B"/>
    <w:rsid w:val="5B663EDB"/>
    <w:rsid w:val="5BB83C17"/>
    <w:rsid w:val="5C2259E5"/>
    <w:rsid w:val="5DF879AC"/>
    <w:rsid w:val="5F315974"/>
    <w:rsid w:val="5F5E78A1"/>
    <w:rsid w:val="5FCC7612"/>
    <w:rsid w:val="60DD181B"/>
    <w:rsid w:val="6155472A"/>
    <w:rsid w:val="63AB530A"/>
    <w:rsid w:val="63FE2E64"/>
    <w:rsid w:val="650F1F7A"/>
    <w:rsid w:val="65EA7C3D"/>
    <w:rsid w:val="66123E57"/>
    <w:rsid w:val="6728667D"/>
    <w:rsid w:val="67505CFA"/>
    <w:rsid w:val="6A345D3D"/>
    <w:rsid w:val="6A627BB0"/>
    <w:rsid w:val="6B3B1802"/>
    <w:rsid w:val="6B790AFD"/>
    <w:rsid w:val="6C3536BC"/>
    <w:rsid w:val="6CBD229A"/>
    <w:rsid w:val="6FAB2E89"/>
    <w:rsid w:val="6FC00569"/>
    <w:rsid w:val="703E51B7"/>
    <w:rsid w:val="712E4F4A"/>
    <w:rsid w:val="71FF10D7"/>
    <w:rsid w:val="72157692"/>
    <w:rsid w:val="73183CCE"/>
    <w:rsid w:val="739860D9"/>
    <w:rsid w:val="73C2512F"/>
    <w:rsid w:val="74995E56"/>
    <w:rsid w:val="75DD6806"/>
    <w:rsid w:val="76FC6C69"/>
    <w:rsid w:val="78DE4766"/>
    <w:rsid w:val="793D42C0"/>
    <w:rsid w:val="796313C0"/>
    <w:rsid w:val="796F29AA"/>
    <w:rsid w:val="7ACF3BFE"/>
    <w:rsid w:val="7CDF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A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2017-12-15T08:19:00Z</dcterms:created>
  <dc:creator>ADMIN</dc:creator>
  <cp:lastModifiedBy>Administrator</cp:lastModifiedBy>
  <dcterms:modified xsi:type="dcterms:W3CDTF">2018-01-08T01:11:41Z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