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val="0"/>
          <w:color w:val="FF0000"/>
          <w:sz w:val="96"/>
          <w:szCs w:val="96"/>
        </w:rPr>
      </w:pPr>
      <w:r>
        <w:rPr>
          <w:rFonts w:hint="eastAsia" w:ascii="宋体" w:hAnsi="宋体" w:cs="宋体"/>
          <w:b/>
          <w:bCs w:val="0"/>
          <w:color w:val="FF0000"/>
          <w:sz w:val="96"/>
          <w:szCs w:val="96"/>
        </w:rPr>
        <w:t>中 国 节 能 协 会</w:t>
      </w:r>
    </w:p>
    <w:p>
      <w:pPr>
        <w:rPr>
          <w:rFonts w:hint="eastAsia" w:ascii="黑体" w:hAnsi="黑体" w:eastAsia="黑体" w:cs="黑体"/>
          <w:color w:val="FF0000"/>
          <w:szCs w:val="21"/>
          <w:u w:val="thick"/>
        </w:rPr>
      </w:pPr>
    </w:p>
    <w:p>
      <w:pPr>
        <w:rPr>
          <w:rFonts w:hint="eastAsia" w:ascii="黑体" w:hAnsi="黑体" w:eastAsia="黑体" w:cs="黑体"/>
          <w:color w:val="FF0000"/>
          <w:szCs w:val="21"/>
          <w:u w:val="thick"/>
        </w:rPr>
      </w:pPr>
      <w:r>
        <w:rPr>
          <w:rFonts w:hint="eastAsia" w:ascii="黑体" w:hAnsi="黑体" w:eastAsia="黑体" w:cs="黑体"/>
          <w:b w:val="0"/>
          <w:bCs w:val="0"/>
          <w:color w:val="FF0000"/>
          <w:szCs w:val="21"/>
          <w:u w:val="thick"/>
        </w:rPr>
        <w:t xml:space="preserve">                                                                                 </w:t>
      </w:r>
      <w:r>
        <w:rPr>
          <w:rFonts w:hint="eastAsia" w:ascii="黑体" w:hAnsi="黑体" w:eastAsia="黑体" w:cs="黑体"/>
          <w:color w:val="FF0000"/>
          <w:szCs w:val="21"/>
          <w:u w:val="thick"/>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jc w:val="center"/>
        <w:rPr>
          <w:rFonts w:hint="eastAsia" w:ascii="新宋体" w:hAnsi="新宋体" w:eastAsia="新宋体" w:cs="新宋体"/>
          <w:b/>
          <w:bCs/>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60" w:lineRule="exact"/>
        <w:ind w:left="0" w:leftChars="0" w:right="0" w:rightChars="0" w:firstLine="0" w:firstLineChars="0"/>
        <w:jc w:val="center"/>
        <w:textAlignment w:val="auto"/>
        <w:outlineLvl w:val="9"/>
        <w:rPr>
          <w:rFonts w:hint="eastAsia" w:ascii="新宋体" w:hAnsi="新宋体" w:eastAsia="新宋体" w:cs="新宋体"/>
          <w:b/>
          <w:bCs/>
          <w:sz w:val="44"/>
          <w:szCs w:val="44"/>
        </w:rPr>
      </w:pPr>
      <w:r>
        <w:rPr>
          <w:rFonts w:hint="eastAsia" w:ascii="新宋体" w:hAnsi="新宋体" w:eastAsia="新宋体" w:cs="新宋体"/>
          <w:b/>
          <w:bCs/>
          <w:kern w:val="0"/>
          <w:sz w:val="44"/>
          <w:szCs w:val="44"/>
          <w:lang w:val="en-US" w:eastAsia="zh-CN" w:bidi="ar"/>
        </w:rPr>
        <w:t>关于举办“十三五”企业能源审计、节能报告编写和评审高级研修班的通知</w:t>
      </w:r>
    </w:p>
    <w:p>
      <w:pPr>
        <w:adjustRightInd w:val="0"/>
        <w:snapToGrid w:val="0"/>
        <w:spacing w:line="510" w:lineRule="exact"/>
        <w:rPr>
          <w:rFonts w:hint="eastAsia" w:ascii="仿宋_GB2312" w:hAnsi="仿宋_GB2312" w:eastAsia="仿宋_GB2312" w:cs="仿宋_GB2312"/>
          <w:sz w:val="32"/>
          <w:szCs w:val="32"/>
        </w:rPr>
      </w:pP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各有关单位:</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为帮助各地方政府相关部门、科研院所及广大企事业单位从业人员切实有效学习项目前期论证及审查理论知识和管理技术，熟练掌握节能报告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能源审计</w:t>
      </w:r>
      <w:r>
        <w:rPr>
          <w:rFonts w:hint="eastAsia" w:ascii="仿宋_GB2312" w:hAnsi="仿宋_GB2312" w:eastAsia="仿宋_GB2312" w:cs="仿宋_GB2312"/>
          <w:sz w:val="30"/>
          <w:szCs w:val="30"/>
        </w:rPr>
        <w:t>编写、监测验证等一系列主要工作内容、方法、流程。中国节能协会将于2017年</w:t>
      </w:r>
      <w:r>
        <w:rPr>
          <w:rFonts w:hint="eastAsia" w:ascii="仿宋_GB2312" w:hAnsi="仿宋_GB2312" w:eastAsia="仿宋_GB2312" w:cs="仿宋_GB2312"/>
          <w:sz w:val="30"/>
          <w:szCs w:val="30"/>
          <w:lang w:val="en-US" w:eastAsia="zh-CN"/>
        </w:rPr>
        <w:t>12月上旬在海口市</w:t>
      </w:r>
      <w:r>
        <w:rPr>
          <w:rFonts w:hint="eastAsia" w:ascii="仿宋_GB2312" w:hAnsi="仿宋_GB2312" w:eastAsia="仿宋_GB2312" w:cs="仿宋_GB2312"/>
          <w:sz w:val="30"/>
          <w:szCs w:val="30"/>
        </w:rPr>
        <w:t>举办</w:t>
      </w:r>
      <w:r>
        <w:rPr>
          <w:rFonts w:hint="eastAsia" w:ascii="仿宋_GB2312" w:hAnsi="仿宋_GB2312" w:eastAsia="仿宋_GB2312" w:cs="仿宋_GB2312"/>
          <w:sz w:val="30"/>
          <w:szCs w:val="30"/>
          <w:lang w:val="en-US" w:eastAsia="zh-CN"/>
        </w:rPr>
        <w:t>“十三五”企业能源审计、节能报告编写和评审高级研修班</w:t>
      </w:r>
      <w:r>
        <w:rPr>
          <w:rFonts w:hint="eastAsia" w:ascii="仿宋_GB2312" w:hAnsi="仿宋_GB2312" w:eastAsia="仿宋_GB2312" w:cs="仿宋_GB2312"/>
          <w:sz w:val="30"/>
          <w:szCs w:val="30"/>
        </w:rPr>
        <w:t>。现将有关事项通知如下:</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研修内容及交流议题</w:t>
      </w:r>
    </w:p>
    <w:p>
      <w:pPr>
        <w:adjustRightInd w:val="0"/>
        <w:snapToGrid w:val="0"/>
        <w:spacing w:line="51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固定资产投资项目节能报告编写评审及</w:t>
      </w:r>
      <w:r>
        <w:rPr>
          <w:rFonts w:hint="eastAsia" w:ascii="仿宋_GB2312" w:hAnsi="仿宋_GB2312" w:eastAsia="仿宋_GB2312" w:cs="仿宋_GB2312"/>
          <w:b/>
          <w:bCs/>
          <w:sz w:val="32"/>
          <w:szCs w:val="32"/>
          <w:lang w:val="en-US" w:eastAsia="zh-CN"/>
        </w:rPr>
        <w:t>审查要求</w:t>
      </w:r>
    </w:p>
    <w:p>
      <w:pPr>
        <w:adjustRightInd w:val="0"/>
        <w:snapToGrid w:val="0"/>
        <w:spacing w:line="51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1.《固定资产投资项目节能审查办法》</w:t>
      </w:r>
      <w:r>
        <w:rPr>
          <w:rFonts w:hint="eastAsia" w:ascii="仿宋_GB2312" w:hAnsi="仿宋_GB2312" w:eastAsia="仿宋_GB2312" w:cs="仿宋_GB2312"/>
          <w:sz w:val="30"/>
          <w:szCs w:val="30"/>
          <w:lang w:val="en-US" w:eastAsia="zh-CN"/>
        </w:rPr>
        <w:t>解读</w:t>
      </w:r>
      <w:r>
        <w:rPr>
          <w:rFonts w:hint="eastAsia" w:ascii="仿宋_GB2312" w:hAnsi="仿宋_GB2312" w:eastAsia="仿宋_GB2312" w:cs="仿宋_GB2312"/>
          <w:sz w:val="30"/>
          <w:szCs w:val="30"/>
        </w:rPr>
        <w:t>;</w:t>
      </w:r>
    </w:p>
    <w:p>
      <w:pPr>
        <w:adjustRightInd w:val="0"/>
        <w:snapToGrid w:val="0"/>
        <w:spacing w:line="510" w:lineRule="exact"/>
        <w:ind w:left="596" w:leftChars="28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.《企业投资项目核准和备案管理办法》及(〔2017〕</w:t>
      </w:r>
      <w:r>
        <w:rPr>
          <w:rFonts w:hint="eastAsia" w:ascii="仿宋_GB2312" w:hAnsi="仿宋_GB2312" w:eastAsia="仿宋_GB2312" w:cs="仿宋_GB2312"/>
          <w:sz w:val="30"/>
          <w:szCs w:val="30"/>
          <w:lang w:val="en-US" w:eastAsia="zh-CN"/>
        </w:rPr>
        <w:t>第2</w:t>
      </w:r>
      <w:r>
        <w:rPr>
          <w:rFonts w:hint="eastAsia" w:ascii="仿宋_GB2312" w:hAnsi="仿宋_GB2312" w:eastAsia="仿宋_GB2312" w:cs="仿宋_GB2312"/>
          <w:sz w:val="30"/>
          <w:szCs w:val="30"/>
        </w:rPr>
        <w:t>号文件和2017《固定资产投资项目节能评估工作指南》解析;</w:t>
      </w:r>
    </w:p>
    <w:p>
      <w:pPr>
        <w:adjustRightInd w:val="0"/>
        <w:snapToGrid w:val="0"/>
        <w:spacing w:line="510" w:lineRule="exact"/>
        <w:ind w:left="596" w:leftChars="28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2"/>
          <w:szCs w:val="32"/>
        </w:rPr>
        <w:t>企业核准项目申请书的编写、申报和审查</w:t>
      </w:r>
      <w:r>
        <w:rPr>
          <w:rFonts w:hint="eastAsia" w:ascii="仿宋_GB2312" w:hAnsi="仿宋_GB2312" w:eastAsia="仿宋_GB2312" w:cs="仿宋_GB2312"/>
          <w:sz w:val="32"/>
          <w:szCs w:val="32"/>
          <w:lang w:eastAsia="zh-CN"/>
        </w:rPr>
        <w:t>；</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.节能审查的程序要求和常见问题;</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.节能报告编制要求解析;</w:t>
      </w:r>
    </w:p>
    <w:p>
      <w:pPr>
        <w:numPr>
          <w:ilvl w:val="0"/>
          <w:numId w:val="0"/>
        </w:numPr>
        <w:adjustRightInd w:val="0"/>
        <w:snapToGrid w:val="0"/>
        <w:spacing w:line="51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能评事中事后监管体系及要求</w:t>
      </w:r>
      <w:r>
        <w:rPr>
          <w:rFonts w:hint="eastAsia" w:ascii="仿宋_GB2312" w:hAnsi="仿宋_GB2312" w:eastAsia="仿宋_GB2312" w:cs="仿宋_GB2312"/>
          <w:sz w:val="30"/>
          <w:szCs w:val="30"/>
          <w:lang w:eastAsia="zh-CN"/>
        </w:rPr>
        <w:t>。</w:t>
      </w:r>
    </w:p>
    <w:p>
      <w:pPr>
        <w:numPr>
          <w:ilvl w:val="0"/>
          <w:numId w:val="0"/>
        </w:numPr>
        <w:adjustRightInd w:val="0"/>
        <w:snapToGrid w:val="0"/>
        <w:spacing w:line="51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节能评估报告、能源审计报告</w:t>
      </w:r>
    </w:p>
    <w:p>
      <w:pPr>
        <w:numPr>
          <w:ilvl w:val="0"/>
          <w:numId w:val="0"/>
        </w:numPr>
        <w:adjustRightInd w:val="0"/>
        <w:snapToGrid w:val="0"/>
        <w:spacing w:line="51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1.节能评估和审查的主要内容和方法；</w:t>
      </w:r>
    </w:p>
    <w:p>
      <w:pPr>
        <w:numPr>
          <w:ilvl w:val="0"/>
          <w:numId w:val="0"/>
        </w:numPr>
        <w:adjustRightInd w:val="0"/>
        <w:snapToGrid w:val="0"/>
        <w:spacing w:line="510" w:lineRule="exact"/>
        <w:ind w:left="596" w:leftChars="28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2.编写节能评估报告如何对可行性研究报告进行研判（1、确定难易程度；2、确定价格多少）；</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3.可研报告中节能分析篇重点内容及要求；</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4.节能评估报告编写过程中如何对标分析；</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5.企业能源审计的原理、标准和方法；</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6.能源审计程序、过程要点、节能方案产生和筛选；</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7.能源审计可行性要点、方案实施、持续能源审计、审计报告编写；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firstLine="600" w:firstLineChars="200"/>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8.工程咨询机构如何开展节能评估工作。</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实战案例解析</w:t>
      </w:r>
    </w:p>
    <w:p>
      <w:pPr>
        <w:adjustRightInd w:val="0"/>
        <w:snapToGrid w:val="0"/>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钢铁、建筑、水泥、石油化工、电力、交通、水利、农业、环保、煤炭等行业案例,分析、讲解报告编写的格式、内容和核心要点。</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二、师资安排</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拟邀国家发展和改革委员会、国家节能中心、中国国际工程咨询公司、国金源工程咨询(北京)有限公司等部门专家及相关文件起草人员亲临授课并进行现场研讨。</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三、参加人员</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各地政府相关部门主管人员;各节能环保、钢铁、建筑、水泥、石油化工、电力、交通、水利、农业、机关事务管理局、城建、科技等相关人员及部门负责人;各规划设计、科研院所、</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行业协(学)会等单位的负责人及相关人员;各企事业单位、“万家企业”、节能中心、节能服务公司、环境影响评价、安全评价、清洁生产、工程咨询机构、管理咨询、重点耗能企业、大专院校专业人员、 高新技术企业等相关人员及部门技术工程人员。 </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四、时间及地点</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20l7年1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日一</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  (</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 xml:space="preserve">日报到)   </w:t>
      </w:r>
      <w:r>
        <w:rPr>
          <w:rFonts w:hint="eastAsia" w:ascii="仿宋_GB2312" w:hAnsi="仿宋_GB2312" w:eastAsia="仿宋_GB2312" w:cs="仿宋_GB2312"/>
          <w:sz w:val="30"/>
          <w:szCs w:val="30"/>
          <w:lang w:val="en-US" w:eastAsia="zh-CN"/>
        </w:rPr>
        <w:t>海口</w:t>
      </w:r>
      <w:r>
        <w:rPr>
          <w:rFonts w:hint="eastAsia" w:ascii="仿宋_GB2312" w:hAnsi="仿宋_GB2312" w:eastAsia="仿宋_GB2312" w:cs="仿宋_GB2312"/>
          <w:sz w:val="30"/>
          <w:szCs w:val="30"/>
        </w:rPr>
        <w:t>市</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五、学习方式及证书颁发</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专家授课、现场演示、互动交流等方式。此次研修班课程安排求真务实,直击企业需求。理论与实战经验相结合,并提供最新讲课和参考资料。</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研修结业, 统一颁发中国节能协会</w:t>
      </w:r>
      <w:r>
        <w:rPr>
          <w:rFonts w:hint="eastAsia" w:ascii="仿宋_GB2312" w:hAnsi="仿宋_GB2312" w:eastAsia="仿宋_GB2312" w:cs="仿宋_GB2312"/>
          <w:sz w:val="30"/>
          <w:szCs w:val="30"/>
          <w:lang w:val="en-US" w:eastAsia="zh-CN"/>
        </w:rPr>
        <w:t>“十三五”企业能源审计、节能报告编写和评审高级研修班</w:t>
      </w:r>
      <w:r>
        <w:rPr>
          <w:rFonts w:hint="eastAsia" w:ascii="仿宋_GB2312" w:hAnsi="仿宋_GB2312" w:eastAsia="仿宋_GB2312" w:cs="仿宋_GB2312"/>
          <w:sz w:val="30"/>
          <w:szCs w:val="30"/>
        </w:rPr>
        <w:t>结业证书。</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六、研修费用</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研修费3200元/人(含授课费、讲义费、场地费、文具费、证书制作及授课期间午餐等)。食宿统一安排, 费用自理。</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七、联系方式</w:t>
      </w:r>
    </w:p>
    <w:p>
      <w:pPr>
        <w:adjustRightInd w:val="0"/>
        <w:snapToGrid w:val="0"/>
        <w:spacing w:line="51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 李老师  13121112713  </w:t>
      </w:r>
    </w:p>
    <w:p>
      <w:pPr>
        <w:adjustRightInd w:val="0"/>
        <w:snapToGrid w:val="0"/>
        <w:spacing w:line="51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电话(兼传真): 010-51945658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邮箱: 653873854@qq.com</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协会秘书处联系人:李宇涛  010-64525339</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八、咨询服务</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drawing>
          <wp:anchor distT="0" distB="0" distL="114300" distR="114300" simplePos="0" relativeHeight="251658240" behindDoc="1" locked="0" layoutInCell="1" allowOverlap="1">
            <wp:simplePos x="0" y="0"/>
            <wp:positionH relativeFrom="column">
              <wp:posOffset>2816225</wp:posOffset>
            </wp:positionH>
            <wp:positionV relativeFrom="paragraph">
              <wp:posOffset>1611630</wp:posOffset>
            </wp:positionV>
            <wp:extent cx="2195830" cy="1999615"/>
            <wp:effectExtent l="294640" t="338455" r="309880" b="347980"/>
            <wp:wrapNone/>
            <wp:docPr id="1" name="图片 1" descr="节能协会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协会图章"/>
                    <pic:cNvPicPr>
                      <a:picLocks noChangeAspect="1"/>
                    </pic:cNvPicPr>
                  </pic:nvPicPr>
                  <pic:blipFill>
                    <a:blip r:embed="rId4"/>
                    <a:stretch>
                      <a:fillRect/>
                    </a:stretch>
                  </pic:blipFill>
                  <pic:spPr>
                    <a:xfrm rot="1320000">
                      <a:off x="0" y="0"/>
                      <a:ext cx="2195830" cy="1999615"/>
                    </a:xfrm>
                    <a:prstGeom prst="rect">
                      <a:avLst/>
                    </a:prstGeom>
                  </pic:spPr>
                </pic:pic>
              </a:graphicData>
            </a:graphic>
          </wp:anchor>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专业团队:由国家发展和改革委员会、国家节能中心、中国节能协会、清华大学、中国国际工程咨询公司、国金源工程咨询(北京)有限公司等国内最权威、最专业的项目报告编写实战专家团队共同为企业提供最具体的咨询和服务并可赴地方内训及指导工作。</w:t>
      </w:r>
      <w:r>
        <w:rPr>
          <w:rFonts w:hint="eastAsia" w:ascii="仿宋_GB2312" w:hAnsi="仿宋_GB2312" w:eastAsia="仿宋_GB2312" w:cs="仿宋_GB2312"/>
          <w:sz w:val="30"/>
          <w:szCs w:val="30"/>
          <w:lang w:val="en-US" w:eastAsia="zh-CN"/>
        </w:rPr>
        <w:t xml:space="preserve">                                       </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rPr>
        <w:t>中国节能协会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2017年10月30日</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w:t>
      </w:r>
    </w:p>
    <w:p>
      <w:pPr>
        <w:spacing w:line="500" w:lineRule="exact"/>
        <w:rPr>
          <w:rFonts w:hint="eastAsia" w:ascii="新宋体" w:hAnsi="新宋体" w:eastAsia="新宋体"/>
          <w:b/>
          <w:spacing w:val="4"/>
          <w:sz w:val="28"/>
        </w:rPr>
      </w:pPr>
      <w:r>
        <w:rPr>
          <w:rFonts w:hint="eastAsia" w:ascii="新宋体" w:hAnsi="新宋体" w:eastAsia="新宋体"/>
          <w:b/>
          <w:spacing w:val="4"/>
          <w:sz w:val="28"/>
        </w:rPr>
        <w:t>附件：</w:t>
      </w:r>
    </w:p>
    <w:p>
      <w:pPr>
        <w:pStyle w:val="5"/>
        <w:keepNext w:val="0"/>
        <w:keepLines w:val="0"/>
        <w:pageBreakBefore w:val="0"/>
        <w:widowControl/>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0" w:firstLineChars="0"/>
        <w:jc w:val="center"/>
        <w:textAlignment w:val="baseline"/>
        <w:outlineLvl w:val="9"/>
        <w:rPr>
          <w:rFonts w:hint="eastAsia"/>
          <w:b/>
          <w:color w:val="000000"/>
          <w:spacing w:val="-10"/>
          <w:sz w:val="36"/>
          <w:szCs w:val="36"/>
        </w:rPr>
      </w:pPr>
      <w:r>
        <w:rPr>
          <w:rFonts w:hint="eastAsia" w:ascii="ˎ̥" w:hAnsi="ˎ̥"/>
          <w:b/>
          <w:bCs/>
          <w:color w:val="000000"/>
          <w:sz w:val="36"/>
          <w:szCs w:val="36"/>
          <w:lang w:val="en-US" w:eastAsia="zh-CN"/>
        </w:rPr>
        <w:t xml:space="preserve">  “十三五”企业能源审计、节能报告编写和评审高级研修班</w:t>
      </w:r>
      <w:r>
        <w:rPr>
          <w:rFonts w:hint="eastAsia"/>
          <w:b/>
          <w:color w:val="000000"/>
          <w:spacing w:val="-10"/>
          <w:sz w:val="36"/>
          <w:szCs w:val="36"/>
        </w:rPr>
        <w:t>报名表</w:t>
      </w:r>
    </w:p>
    <w:p>
      <w:pPr>
        <w:pStyle w:val="5"/>
        <w:spacing w:beforeAutospacing="0" w:afterAutospacing="0" w:line="360" w:lineRule="exact"/>
        <w:jc w:val="both"/>
        <w:textAlignment w:val="baseline"/>
        <w:rPr>
          <w:rFonts w:hint="eastAsia" w:ascii="仿宋_GB2312" w:hAnsi="仿宋_GB2312" w:eastAsia="仿宋_GB2312" w:cs="仿宋_GB2312"/>
          <w:b/>
          <w:color w:val="000000"/>
          <w:spacing w:val="-10"/>
          <w:sz w:val="32"/>
          <w:szCs w:val="32"/>
        </w:rPr>
      </w:pPr>
      <w:r>
        <w:rPr>
          <w:rFonts w:hint="eastAsia" w:ascii="仿宋_GB2312" w:hAnsi="仿宋_GB2312" w:eastAsia="仿宋_GB2312" w:cs="仿宋_GB2312"/>
          <w:sz w:val="32"/>
          <w:szCs w:val="32"/>
        </w:rPr>
        <w:t xml:space="preserve">       </w:t>
      </w:r>
    </w:p>
    <w:tbl>
      <w:tblPr>
        <w:tblStyle w:val="4"/>
        <w:tblW w:w="9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5"/>
        <w:gridCol w:w="855"/>
        <w:gridCol w:w="1619"/>
        <w:gridCol w:w="976"/>
        <w:gridCol w:w="435"/>
        <w:gridCol w:w="834"/>
        <w:gridCol w:w="104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37" w:type="dxa"/>
            <w:gridSpan w:val="2"/>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4719" w:type="dxa"/>
            <w:gridSpan w:val="5"/>
            <w:vAlign w:val="top"/>
          </w:tcPr>
          <w:p>
            <w:pPr>
              <w:spacing w:line="510" w:lineRule="exact"/>
              <w:rPr>
                <w:rFonts w:hint="eastAsia" w:ascii="仿宋_GB2312" w:hAnsi="仿宋_GB2312" w:eastAsia="仿宋_GB2312" w:cs="仿宋_GB2312"/>
                <w:sz w:val="32"/>
                <w:szCs w:val="32"/>
              </w:rPr>
            </w:pPr>
          </w:p>
        </w:tc>
        <w:tc>
          <w:tcPr>
            <w:tcW w:w="1045" w:type="dxa"/>
            <w:vAlign w:val="top"/>
          </w:tcPr>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w:t>
            </w:r>
          </w:p>
        </w:tc>
        <w:tc>
          <w:tcPr>
            <w:tcW w:w="2322" w:type="dxa"/>
            <w:vAlign w:val="top"/>
          </w:tcPr>
          <w:p>
            <w:pPr>
              <w:spacing w:line="51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37"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4719" w:type="dxa"/>
            <w:gridSpan w:val="5"/>
            <w:vAlign w:val="top"/>
          </w:tcPr>
          <w:p>
            <w:pPr>
              <w:spacing w:line="510" w:lineRule="exact"/>
              <w:rPr>
                <w:rFonts w:hint="eastAsia" w:ascii="仿宋_GB2312" w:hAnsi="仿宋_GB2312" w:eastAsia="仿宋_GB2312" w:cs="仿宋_GB2312"/>
                <w:sz w:val="32"/>
                <w:szCs w:val="32"/>
              </w:rPr>
            </w:pPr>
          </w:p>
        </w:tc>
        <w:tc>
          <w:tcPr>
            <w:tcW w:w="1045"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37"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tc>
        <w:tc>
          <w:tcPr>
            <w:tcW w:w="3450" w:type="dxa"/>
            <w:gridSpan w:val="3"/>
            <w:vAlign w:val="top"/>
          </w:tcPr>
          <w:p>
            <w:pPr>
              <w:spacing w:line="510" w:lineRule="exact"/>
              <w:rPr>
                <w:rFonts w:hint="eastAsia" w:ascii="仿宋_GB2312" w:hAnsi="仿宋_GB2312" w:eastAsia="仿宋_GB2312" w:cs="仿宋_GB2312"/>
                <w:sz w:val="32"/>
                <w:szCs w:val="32"/>
              </w:rPr>
            </w:pPr>
          </w:p>
        </w:tc>
        <w:tc>
          <w:tcPr>
            <w:tcW w:w="1269" w:type="dxa"/>
            <w:gridSpan w:val="2"/>
            <w:vAlign w:val="top"/>
          </w:tcPr>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p>
        </w:tc>
        <w:tc>
          <w:tcPr>
            <w:tcW w:w="3367" w:type="dxa"/>
            <w:gridSpan w:val="2"/>
            <w:vAlign w:val="top"/>
          </w:tcPr>
          <w:p>
            <w:pPr>
              <w:spacing w:line="51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3" w:type="dxa"/>
            <w:gridSpan w:val="9"/>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000"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619"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w:t>
            </w:r>
          </w:p>
        </w:tc>
        <w:tc>
          <w:tcPr>
            <w:tcW w:w="1411"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879"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2322"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2" w:type="dxa"/>
            <w:vAlign w:val="top"/>
          </w:tcPr>
          <w:p>
            <w:pPr>
              <w:spacing w:line="510" w:lineRule="exact"/>
              <w:rPr>
                <w:rFonts w:hint="eastAsia" w:ascii="仿宋_GB2312" w:hAnsi="仿宋_GB2312" w:eastAsia="仿宋_GB2312" w:cs="仿宋_GB2312"/>
                <w:sz w:val="32"/>
                <w:szCs w:val="32"/>
              </w:rPr>
            </w:pPr>
          </w:p>
        </w:tc>
        <w:tc>
          <w:tcPr>
            <w:tcW w:w="1000" w:type="dxa"/>
            <w:gridSpan w:val="2"/>
            <w:vAlign w:val="top"/>
          </w:tcPr>
          <w:p>
            <w:pPr>
              <w:spacing w:line="510" w:lineRule="exact"/>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rPr>
                <w:rFonts w:hint="eastAsia" w:ascii="仿宋_GB2312" w:hAnsi="仿宋_GB2312" w:eastAsia="仿宋_GB2312" w:cs="仿宋_GB2312"/>
                <w:sz w:val="32"/>
                <w:szCs w:val="32"/>
              </w:rPr>
            </w:pPr>
          </w:p>
        </w:tc>
        <w:tc>
          <w:tcPr>
            <w:tcW w:w="1879" w:type="dxa"/>
            <w:gridSpan w:val="2"/>
            <w:vAlign w:val="top"/>
          </w:tcPr>
          <w:p>
            <w:pPr>
              <w:spacing w:line="510" w:lineRule="exact"/>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2492" w:type="dxa"/>
            <w:gridSpan w:val="3"/>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住宿预订</w:t>
            </w:r>
          </w:p>
        </w:tc>
        <w:tc>
          <w:tcPr>
            <w:tcW w:w="7231" w:type="dxa"/>
            <w:gridSpan w:val="6"/>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□单住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□合住</w:t>
            </w:r>
          </w:p>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拟住日期：2017年   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2492" w:type="dxa"/>
            <w:gridSpan w:val="3"/>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指定收款账户</w:t>
            </w:r>
          </w:p>
        </w:tc>
        <w:tc>
          <w:tcPr>
            <w:tcW w:w="7231" w:type="dxa"/>
            <w:gridSpan w:val="6"/>
            <w:vAlign w:val="top"/>
          </w:tcPr>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名：北京中和国宏嘉业技术培训中心</w:t>
            </w:r>
          </w:p>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开户行：工行北京北辛安支行</w:t>
            </w:r>
          </w:p>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号：0200 0058 0920 0064 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492" w:type="dxa"/>
            <w:gridSpan w:val="3"/>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3864" w:type="dxa"/>
            <w:gridSpan w:val="4"/>
            <w:vAlign w:val="center"/>
          </w:tcPr>
          <w:p>
            <w:pPr>
              <w:spacing w:line="400" w:lineRule="exact"/>
              <w:ind w:right="560" w:firstLine="3040" w:firstLineChars="950"/>
              <w:rPr>
                <w:rFonts w:hint="eastAsia" w:ascii="仿宋_GB2312" w:hAnsi="仿宋_GB2312" w:eastAsia="仿宋_GB2312" w:cs="仿宋_GB2312"/>
                <w:sz w:val="32"/>
                <w:szCs w:val="32"/>
              </w:rPr>
            </w:pPr>
          </w:p>
        </w:tc>
        <w:tc>
          <w:tcPr>
            <w:tcW w:w="3367" w:type="dxa"/>
            <w:gridSpan w:val="2"/>
            <w:vAlign w:val="center"/>
          </w:tcPr>
          <w:p>
            <w:pPr>
              <w:spacing w:line="400" w:lineRule="exact"/>
              <w:ind w:righ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单位印章</w:t>
            </w:r>
          </w:p>
          <w:p>
            <w:pPr>
              <w:spacing w:line="400" w:lineRule="exact"/>
              <w:ind w:righ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spacing w:line="400" w:lineRule="exact"/>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备注：请认真逐项填写此表，复印有效。</w:t>
      </w:r>
    </w:p>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联系人：李 杰 13121112713    </w:t>
      </w:r>
      <w:r>
        <w:rPr>
          <w:rStyle w:val="6"/>
          <w:rFonts w:hint="eastAsia" w:ascii="仿宋_GB2312" w:hAnsi="仿宋_GB2312" w:eastAsia="仿宋_GB2312" w:cs="仿宋_GB2312"/>
          <w:b/>
          <w:bCs/>
          <w:color w:val="000000"/>
          <w:spacing w:val="4"/>
          <w:sz w:val="32"/>
          <w:szCs w:val="32"/>
        </w:rPr>
        <w:t>邮 箱</w:t>
      </w:r>
      <w:r>
        <w:rPr>
          <w:rFonts w:hint="eastAsia" w:ascii="仿宋_GB2312" w:hAnsi="仿宋_GB2312" w:eastAsia="仿宋_GB2312" w:cs="仿宋_GB2312"/>
          <w:b/>
          <w:bCs/>
          <w:sz w:val="32"/>
          <w:szCs w:val="32"/>
        </w:rPr>
        <w:t>：653873854@qq.com</w:t>
      </w:r>
    </w:p>
    <w:p>
      <w:pPr>
        <w:spacing w:line="4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电  话：</w:t>
      </w:r>
      <w:r>
        <w:rPr>
          <w:rStyle w:val="6"/>
          <w:rFonts w:hint="eastAsia" w:ascii="仿宋_GB2312" w:hAnsi="仿宋_GB2312" w:eastAsia="仿宋_GB2312" w:cs="仿宋_GB2312"/>
          <w:b/>
          <w:bCs/>
          <w:color w:val="000000"/>
          <w:spacing w:val="4"/>
          <w:sz w:val="32"/>
          <w:szCs w:val="32"/>
        </w:rPr>
        <w:t>010-51945658        传 真：010-51945658</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小米兰亭">
    <w:panose1 w:val="03000502000000000000"/>
    <w:charset w:val="86"/>
    <w:family w:val="auto"/>
    <w:pitch w:val="default"/>
    <w:sig w:usb0="E00002FF" w:usb1="78CF7CFB" w:usb2="00000036"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行楷简">
    <w:panose1 w:val="02010609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8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Arvo">
    <w:panose1 w:val="02000000000000000000"/>
    <w:charset w:val="00"/>
    <w:family w:val="auto"/>
    <w:pitch w:val="default"/>
    <w:sig w:usb0="800000A7" w:usb1="00000041" w:usb2="00000000" w:usb3="00000000" w:csb0="20000111" w:csb1="40000000"/>
  </w:font>
  <w:font w:name="Axure Handwriting">
    <w:panose1 w:val="020B0402020200020204"/>
    <w:charset w:val="00"/>
    <w:family w:val="auto"/>
    <w:pitch w:val="default"/>
    <w:sig w:usb0="800000AF" w:usb1="4000204A"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Droid Serif">
    <w:panose1 w:val="02020600060500020200"/>
    <w:charset w:val="00"/>
    <w:family w:val="auto"/>
    <w:pitch w:val="default"/>
    <w:sig w:usb0="E00002EF" w:usb1="4000205B" w:usb2="00000028" w:usb3="00000000" w:csb0="2000019F"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Indie Flower">
    <w:panose1 w:val="02000000000000000000"/>
    <w:charset w:val="00"/>
    <w:family w:val="auto"/>
    <w:pitch w:val="default"/>
    <w:sig w:usb0="A000002F" w:usb1="5000004A" w:usb2="00000000" w:usb3="00000000" w:csb0="00000093" w:csb1="00000000"/>
  </w:font>
  <w:font w:name="Javanese Text">
    <w:panose1 w:val="02000000000000000000"/>
    <w:charset w:val="00"/>
    <w:family w:val="auto"/>
    <w:pitch w:val="default"/>
    <w:sig w:usb0="80000003" w:usb1="00002000" w:usb2="00000000" w:usb3="00000000" w:csb0="00000001" w:csb1="00000000"/>
  </w:font>
  <w:font w:name="jdIcoMoonFree">
    <w:panose1 w:val="00000000000000000000"/>
    <w:charset w:val="00"/>
    <w:family w:val="auto"/>
    <w:pitch w:val="default"/>
    <w:sig w:usb0="00000003" w:usb1="10000000" w:usb2="00000000" w:usb3="00000000" w:csb0="00000001" w:csb1="00000000"/>
  </w:font>
  <w:font w:name="JdIonicons">
    <w:panose1 w:val="02000603000000000000"/>
    <w:charset w:val="00"/>
    <w:family w:val="auto"/>
    <w:pitch w:val="default"/>
    <w:sig w:usb0="00000000" w:usb1="1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obster">
    <w:panose1 w:val="02000506000000020003"/>
    <w:charset w:val="00"/>
    <w:family w:val="auto"/>
    <w:pitch w:val="default"/>
    <w:sig w:usb0="A00002FF" w:usb1="5000205B" w:usb2="00000000" w:usb3="00000000" w:csb0="20000197" w:csb1="00000000"/>
  </w:font>
  <w:font w:name="Leelawadee UI">
    <w:panose1 w:val="020B0502040204020203"/>
    <w:charset w:val="00"/>
    <w:family w:val="auto"/>
    <w:pitch w:val="default"/>
    <w:sig w:usb0="83000003" w:usb1="00000000" w:usb2="00010000" w:usb3="00000001" w:csb0="00010101" w:csb1="00000000"/>
  </w:font>
  <w:font w:name="Constantia">
    <w:panose1 w:val="02030602050306030303"/>
    <w:charset w:val="00"/>
    <w:family w:val="auto"/>
    <w:pitch w:val="default"/>
    <w:sig w:usb0="A00002EF" w:usb1="4000204B" w:usb2="00000000" w:usb3="00000000" w:csb0="2000019F"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Meiryo UI">
    <w:altName w:val="MS UI Gothic"/>
    <w:panose1 w:val="020B0604030504040204"/>
    <w:charset w:val="80"/>
    <w:family w:val="auto"/>
    <w:pitch w:val="default"/>
    <w:sig w:usb0="00000000" w:usb1="00000000" w:usb2="00010012" w:usb3="00000000" w:csb0="6002009F" w:csb1="DFD70000"/>
  </w:font>
  <w:font w:name="Wide Latin">
    <w:altName w:val="Segoe Print"/>
    <w:panose1 w:val="020A0A07050505020404"/>
    <w:charset w:val="00"/>
    <w:family w:val="auto"/>
    <w:pitch w:val="default"/>
    <w:sig w:usb0="00000000" w:usb1="00000000" w:usb2="00000000" w:usb3="00000000" w:csb0="20000001" w:csb1="00000000"/>
  </w:font>
  <w:font w:name="Century Gothic">
    <w:altName w:val="Trebuchet MS"/>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Leelawadee">
    <w:altName w:val="Lucida Sans Unicode"/>
    <w:panose1 w:val="020B0502040204020203"/>
    <w:charset w:val="00"/>
    <w:family w:val="auto"/>
    <w:pitch w:val="default"/>
    <w:sig w:usb0="00000000" w:usb1="00000000" w:usb2="00000000" w:usb3="00000000" w:csb0="2001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Verdana">
    <w:panose1 w:val="020B0604030504040204"/>
    <w:charset w:val="00"/>
    <w:family w:val="auto"/>
    <w:pitch w:val="default"/>
    <w:sig w:usb0="A1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31F0"/>
    <w:rsid w:val="04400A3F"/>
    <w:rsid w:val="055810E7"/>
    <w:rsid w:val="0A9B6D09"/>
    <w:rsid w:val="0AA821C6"/>
    <w:rsid w:val="0C284192"/>
    <w:rsid w:val="0CDE42A2"/>
    <w:rsid w:val="1444551F"/>
    <w:rsid w:val="17AE36F2"/>
    <w:rsid w:val="1E12705B"/>
    <w:rsid w:val="1E4A7A78"/>
    <w:rsid w:val="1E8F77B2"/>
    <w:rsid w:val="1F143453"/>
    <w:rsid w:val="20A771C0"/>
    <w:rsid w:val="219618B5"/>
    <w:rsid w:val="255447EA"/>
    <w:rsid w:val="287D44C5"/>
    <w:rsid w:val="30304AEA"/>
    <w:rsid w:val="31232285"/>
    <w:rsid w:val="31F3611A"/>
    <w:rsid w:val="36641992"/>
    <w:rsid w:val="3A232792"/>
    <w:rsid w:val="3DC41F75"/>
    <w:rsid w:val="41F11119"/>
    <w:rsid w:val="42172486"/>
    <w:rsid w:val="42E37844"/>
    <w:rsid w:val="432B4027"/>
    <w:rsid w:val="45D85C2D"/>
    <w:rsid w:val="465A6E36"/>
    <w:rsid w:val="485E4A4E"/>
    <w:rsid w:val="49A65C6A"/>
    <w:rsid w:val="49E15DF5"/>
    <w:rsid w:val="4D2554B2"/>
    <w:rsid w:val="5048051D"/>
    <w:rsid w:val="505C75FE"/>
    <w:rsid w:val="509C5EB1"/>
    <w:rsid w:val="52A300EB"/>
    <w:rsid w:val="53CA4BB1"/>
    <w:rsid w:val="54B2007C"/>
    <w:rsid w:val="55C17B59"/>
    <w:rsid w:val="560724B6"/>
    <w:rsid w:val="59D51E09"/>
    <w:rsid w:val="5F2C433D"/>
    <w:rsid w:val="5F435F10"/>
    <w:rsid w:val="5FFF1041"/>
    <w:rsid w:val="60443241"/>
    <w:rsid w:val="6181398C"/>
    <w:rsid w:val="61DF1AB3"/>
    <w:rsid w:val="65415E79"/>
    <w:rsid w:val="65E3789A"/>
    <w:rsid w:val="683C62FC"/>
    <w:rsid w:val="69EE28AF"/>
    <w:rsid w:val="6C81477B"/>
    <w:rsid w:val="7101586F"/>
    <w:rsid w:val="71C07547"/>
    <w:rsid w:val="72646244"/>
    <w:rsid w:val="73474EF7"/>
    <w:rsid w:val="757608DC"/>
    <w:rsid w:val="79910DB9"/>
    <w:rsid w:val="7B900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
    <w:name w:val="16"/>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2017-11-01T09:26:00Z</cp:lastPrinted>
  <dcterms:modified xsi:type="dcterms:W3CDTF">2017-11-02T05:46:45Z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